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0F" w:rsidRPr="000C0894" w:rsidRDefault="006E3142" w:rsidP="00B27481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0894">
        <w:rPr>
          <w:rFonts w:ascii="Arial" w:hAnsi="Arial" w:cs="Arial"/>
          <w:b/>
          <w:sz w:val="24"/>
          <w:szCs w:val="24"/>
        </w:rPr>
        <w:t>I</w:t>
      </w:r>
      <w:r w:rsidR="0036380F" w:rsidRPr="000C0894">
        <w:rPr>
          <w:rFonts w:ascii="Arial" w:hAnsi="Arial" w:cs="Arial"/>
          <w:b/>
          <w:sz w:val="24"/>
          <w:szCs w:val="24"/>
        </w:rPr>
        <w:t>nstruç</w:t>
      </w:r>
      <w:r w:rsidR="008A590E" w:rsidRPr="000C0894">
        <w:rPr>
          <w:rFonts w:ascii="Arial" w:hAnsi="Arial" w:cs="Arial"/>
          <w:b/>
          <w:sz w:val="24"/>
          <w:szCs w:val="24"/>
        </w:rPr>
        <w:t>ões para</w:t>
      </w:r>
      <w:r w:rsidR="0036380F" w:rsidRPr="000C0894">
        <w:rPr>
          <w:rFonts w:ascii="Arial" w:hAnsi="Arial" w:cs="Arial"/>
          <w:b/>
          <w:sz w:val="24"/>
          <w:szCs w:val="24"/>
        </w:rPr>
        <w:t xml:space="preserve"> preenchimento do formulário:</w:t>
      </w:r>
    </w:p>
    <w:p w:rsidR="0036380F" w:rsidRPr="000C0894" w:rsidRDefault="0036380F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Documento</w:t>
      </w:r>
      <w:r w:rsidRPr="000C0894">
        <w:rPr>
          <w:rFonts w:ascii="Arial" w:hAnsi="Arial" w:cs="Arial"/>
          <w:sz w:val="24"/>
          <w:szCs w:val="24"/>
        </w:rPr>
        <w:t xml:space="preserve">, deve ser especificado o instrumento licitatório para o qual </w:t>
      </w:r>
      <w:r w:rsidR="002158EA" w:rsidRPr="000C0894">
        <w:rPr>
          <w:rFonts w:ascii="Arial" w:hAnsi="Arial" w:cs="Arial"/>
          <w:sz w:val="24"/>
          <w:szCs w:val="24"/>
        </w:rPr>
        <w:t>está sendo sugerida</w:t>
      </w:r>
      <w:r w:rsidR="00EA1DC4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modificação. </w:t>
      </w:r>
      <w:r w:rsidRPr="000C0894">
        <w:rPr>
          <w:rFonts w:ascii="Arial" w:hAnsi="Arial" w:cs="Arial"/>
          <w:sz w:val="24"/>
          <w:szCs w:val="24"/>
        </w:rPr>
        <w:t xml:space="preserve">Neste campo, </w:t>
      </w:r>
      <w:r w:rsidR="008A590E" w:rsidRPr="000C0894">
        <w:rPr>
          <w:rFonts w:ascii="Arial" w:hAnsi="Arial" w:cs="Arial"/>
          <w:sz w:val="24"/>
          <w:szCs w:val="24"/>
        </w:rPr>
        <w:t xml:space="preserve">deve-se </w:t>
      </w:r>
      <w:r w:rsidRPr="000C0894">
        <w:rPr>
          <w:rFonts w:ascii="Arial" w:hAnsi="Arial" w:cs="Arial"/>
          <w:sz w:val="24"/>
          <w:szCs w:val="24"/>
        </w:rPr>
        <w:t xml:space="preserve">digitar </w:t>
      </w:r>
      <w:r w:rsidR="008A590E" w:rsidRPr="000C0894">
        <w:rPr>
          <w:rFonts w:ascii="Arial" w:hAnsi="Arial" w:cs="Arial"/>
          <w:sz w:val="24"/>
          <w:szCs w:val="24"/>
        </w:rPr>
        <w:t xml:space="preserve">apenas </w:t>
      </w:r>
      <w:r w:rsidR="009403DB" w:rsidRPr="009403DB">
        <w:rPr>
          <w:rFonts w:ascii="Arial" w:hAnsi="Arial" w:cs="Arial"/>
          <w:sz w:val="24"/>
          <w:szCs w:val="24"/>
          <w:u w:val="single"/>
        </w:rPr>
        <w:t>p</w:t>
      </w:r>
      <w:r w:rsidR="008A590E" w:rsidRPr="000C0894">
        <w:rPr>
          <w:rFonts w:ascii="Arial" w:hAnsi="Arial" w:cs="Arial"/>
          <w:sz w:val="24"/>
          <w:szCs w:val="24"/>
          <w:u w:val="single"/>
        </w:rPr>
        <w:t>ré-e</w:t>
      </w:r>
      <w:r w:rsidRPr="000C0894">
        <w:rPr>
          <w:rFonts w:ascii="Arial" w:hAnsi="Arial" w:cs="Arial"/>
          <w:sz w:val="24"/>
          <w:szCs w:val="24"/>
          <w:u w:val="single"/>
        </w:rPr>
        <w:t>dital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="009403DB" w:rsidRPr="009403DB">
        <w:rPr>
          <w:rFonts w:ascii="Arial" w:hAnsi="Arial" w:cs="Arial"/>
          <w:sz w:val="24"/>
          <w:szCs w:val="24"/>
          <w:u w:val="single"/>
        </w:rPr>
        <w:t>m</w:t>
      </w:r>
      <w:r w:rsidR="008A590E" w:rsidRPr="009403DB">
        <w:rPr>
          <w:rFonts w:ascii="Arial" w:hAnsi="Arial" w:cs="Arial"/>
          <w:sz w:val="24"/>
          <w:szCs w:val="24"/>
          <w:u w:val="single"/>
        </w:rPr>
        <w:t>i</w:t>
      </w:r>
      <w:r w:rsidR="008A590E" w:rsidRPr="000C0894">
        <w:rPr>
          <w:rFonts w:ascii="Arial" w:hAnsi="Arial" w:cs="Arial"/>
          <w:sz w:val="24"/>
          <w:szCs w:val="24"/>
          <w:u w:val="single"/>
        </w:rPr>
        <w:t>nuta do c</w:t>
      </w:r>
      <w:r w:rsidRPr="000C0894">
        <w:rPr>
          <w:rFonts w:ascii="Arial" w:hAnsi="Arial" w:cs="Arial"/>
          <w:sz w:val="24"/>
          <w:szCs w:val="24"/>
          <w:u w:val="single"/>
        </w:rPr>
        <w:t>ontrato</w:t>
      </w:r>
      <w:r w:rsidRPr="000C0894">
        <w:rPr>
          <w:rFonts w:ascii="Arial" w:hAnsi="Arial" w:cs="Arial"/>
          <w:sz w:val="24"/>
          <w:szCs w:val="24"/>
        </w:rPr>
        <w:t>;</w:t>
      </w:r>
    </w:p>
    <w:p w:rsidR="002158EA" w:rsidRPr="000C0894" w:rsidRDefault="002158EA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Natureza da sugestão</w:t>
      </w:r>
      <w:r w:rsidR="00EA1DC4" w:rsidRPr="000C0894">
        <w:rPr>
          <w:rFonts w:ascii="Arial" w:hAnsi="Arial" w:cs="Arial"/>
          <w:sz w:val="24"/>
          <w:szCs w:val="24"/>
        </w:rPr>
        <w:t>, deve ser indicado</w:t>
      </w:r>
      <w:r w:rsidRPr="000C0894">
        <w:rPr>
          <w:rFonts w:ascii="Arial" w:hAnsi="Arial" w:cs="Arial"/>
          <w:sz w:val="24"/>
          <w:szCs w:val="24"/>
        </w:rPr>
        <w:t xml:space="preserve"> se a sugestão proposta é </w:t>
      </w:r>
      <w:r w:rsidR="006E7756">
        <w:rPr>
          <w:rFonts w:ascii="Arial" w:hAnsi="Arial" w:cs="Arial"/>
          <w:sz w:val="24"/>
          <w:szCs w:val="24"/>
        </w:rPr>
        <w:t xml:space="preserve">de </w:t>
      </w:r>
      <w:r w:rsidRPr="000C0894">
        <w:rPr>
          <w:rFonts w:ascii="Arial" w:hAnsi="Arial" w:cs="Arial"/>
          <w:sz w:val="24"/>
          <w:szCs w:val="24"/>
          <w:u w:val="single"/>
        </w:rPr>
        <w:t>Inclusão</w:t>
      </w:r>
      <w:r w:rsidRPr="000C0894">
        <w:rPr>
          <w:rFonts w:ascii="Arial" w:hAnsi="Arial" w:cs="Arial"/>
          <w:sz w:val="24"/>
          <w:szCs w:val="24"/>
        </w:rPr>
        <w:t xml:space="preserve">, </w:t>
      </w:r>
      <w:r w:rsidRPr="000C0894">
        <w:rPr>
          <w:rFonts w:ascii="Arial" w:hAnsi="Arial" w:cs="Arial"/>
          <w:sz w:val="24"/>
          <w:szCs w:val="24"/>
          <w:u w:val="single"/>
        </w:rPr>
        <w:t>Alteração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Pr="000C0894">
        <w:rPr>
          <w:rFonts w:ascii="Arial" w:hAnsi="Arial" w:cs="Arial"/>
          <w:sz w:val="24"/>
          <w:szCs w:val="24"/>
          <w:u w:val="single"/>
        </w:rPr>
        <w:t>Exclusão</w:t>
      </w:r>
      <w:r w:rsidRPr="000C0894">
        <w:rPr>
          <w:rFonts w:ascii="Arial" w:hAnsi="Arial" w:cs="Arial"/>
          <w:sz w:val="24"/>
          <w:szCs w:val="24"/>
        </w:rPr>
        <w:t>;</w:t>
      </w:r>
    </w:p>
    <w:p w:rsidR="008A590E" w:rsidRPr="000C0894" w:rsidRDefault="0036380F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Item</w:t>
      </w:r>
      <w:r w:rsidR="006E7756">
        <w:rPr>
          <w:rFonts w:ascii="Arial" w:hAnsi="Arial" w:cs="Arial"/>
          <w:sz w:val="24"/>
          <w:szCs w:val="24"/>
        </w:rPr>
        <w:t>, deve ser discriminado</w:t>
      </w:r>
      <w:r w:rsidRPr="000C0894">
        <w:rPr>
          <w:rFonts w:ascii="Arial" w:hAnsi="Arial" w:cs="Arial"/>
          <w:sz w:val="24"/>
          <w:szCs w:val="24"/>
        </w:rPr>
        <w:t xml:space="preserve"> </w:t>
      </w:r>
      <w:r w:rsidR="008A590E" w:rsidRPr="000C0894">
        <w:rPr>
          <w:rFonts w:ascii="Arial" w:hAnsi="Arial" w:cs="Arial"/>
          <w:sz w:val="24"/>
          <w:szCs w:val="24"/>
        </w:rPr>
        <w:t xml:space="preserve">o item do </w:t>
      </w:r>
      <w:r w:rsidR="009403DB">
        <w:rPr>
          <w:rFonts w:ascii="Arial" w:hAnsi="Arial" w:cs="Arial"/>
          <w:sz w:val="24"/>
          <w:szCs w:val="24"/>
        </w:rPr>
        <w:t>p</w:t>
      </w:r>
      <w:r w:rsidR="008A590E" w:rsidRPr="000C0894">
        <w:rPr>
          <w:rFonts w:ascii="Arial" w:hAnsi="Arial" w:cs="Arial"/>
          <w:sz w:val="24"/>
          <w:szCs w:val="24"/>
        </w:rPr>
        <w:t xml:space="preserve">ré-edital, ou a cláusula da </w:t>
      </w:r>
      <w:r w:rsidR="009403DB">
        <w:rPr>
          <w:rFonts w:ascii="Arial" w:hAnsi="Arial" w:cs="Arial"/>
          <w:sz w:val="24"/>
          <w:szCs w:val="24"/>
        </w:rPr>
        <w:t>m</w:t>
      </w:r>
      <w:r w:rsidR="008A590E" w:rsidRPr="000C0894">
        <w:rPr>
          <w:rFonts w:ascii="Arial" w:hAnsi="Arial" w:cs="Arial"/>
          <w:sz w:val="24"/>
          <w:szCs w:val="24"/>
        </w:rPr>
        <w:t xml:space="preserve">inuta do contrato, ou, ainda, o </w:t>
      </w:r>
      <w:r w:rsidR="009403DB">
        <w:rPr>
          <w:rFonts w:ascii="Arial" w:hAnsi="Arial" w:cs="Arial"/>
          <w:sz w:val="24"/>
          <w:szCs w:val="24"/>
        </w:rPr>
        <w:t>a</w:t>
      </w:r>
      <w:r w:rsidR="008A590E" w:rsidRPr="000C0894">
        <w:rPr>
          <w:rFonts w:ascii="Arial" w:hAnsi="Arial" w:cs="Arial"/>
          <w:sz w:val="24"/>
          <w:szCs w:val="24"/>
        </w:rPr>
        <w:t>nexo p</w:t>
      </w:r>
      <w:r w:rsidR="002158EA" w:rsidRPr="000C0894">
        <w:rPr>
          <w:rFonts w:ascii="Arial" w:hAnsi="Arial" w:cs="Arial"/>
          <w:sz w:val="24"/>
          <w:szCs w:val="24"/>
        </w:rPr>
        <w:t xml:space="preserve">ara o qual </w:t>
      </w:r>
      <w:r w:rsidR="00BA4C9C" w:rsidRPr="000C0894">
        <w:rPr>
          <w:rFonts w:ascii="Arial" w:hAnsi="Arial" w:cs="Arial"/>
          <w:sz w:val="24"/>
          <w:szCs w:val="24"/>
        </w:rPr>
        <w:t xml:space="preserve">está sendo sugerida modificação. </w:t>
      </w:r>
      <w:r w:rsidR="008A590E" w:rsidRPr="000C0894">
        <w:rPr>
          <w:rFonts w:ascii="Arial" w:hAnsi="Arial" w:cs="Arial"/>
          <w:sz w:val="24"/>
          <w:szCs w:val="24"/>
        </w:rPr>
        <w:t xml:space="preserve">Neste campo, deve-se digitar apenas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do item</w:t>
      </w:r>
      <w:r w:rsidR="008A590E" w:rsidRPr="000C0894">
        <w:rPr>
          <w:rFonts w:ascii="Arial" w:hAnsi="Arial" w:cs="Arial"/>
          <w:sz w:val="24"/>
          <w:szCs w:val="24"/>
        </w:rPr>
        <w:t xml:space="preserve"> ou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da cláusula</w:t>
      </w:r>
      <w:r w:rsidR="008A590E" w:rsidRPr="000C0894">
        <w:rPr>
          <w:rFonts w:ascii="Arial" w:hAnsi="Arial" w:cs="Arial"/>
          <w:sz w:val="24"/>
          <w:szCs w:val="24"/>
        </w:rPr>
        <w:t>, sem detalhar o seu título</w:t>
      </w:r>
      <w:r w:rsidR="000C7F3F" w:rsidRPr="000C0894">
        <w:rPr>
          <w:rFonts w:ascii="Arial" w:hAnsi="Arial" w:cs="Arial"/>
          <w:sz w:val="24"/>
          <w:szCs w:val="24"/>
        </w:rPr>
        <w:t>.</w:t>
      </w:r>
      <w:r w:rsidR="00264138">
        <w:rPr>
          <w:rFonts w:ascii="Arial" w:hAnsi="Arial" w:cs="Arial"/>
          <w:sz w:val="24"/>
          <w:szCs w:val="24"/>
        </w:rPr>
        <w:t xml:space="preserve"> No caso de sugestão à </w:t>
      </w:r>
      <w:r w:rsidR="009403DB">
        <w:rPr>
          <w:rFonts w:ascii="Arial" w:hAnsi="Arial" w:cs="Arial"/>
          <w:sz w:val="24"/>
          <w:szCs w:val="24"/>
        </w:rPr>
        <w:t>a</w:t>
      </w:r>
      <w:r w:rsidR="00264138">
        <w:rPr>
          <w:rFonts w:ascii="Arial" w:hAnsi="Arial" w:cs="Arial"/>
          <w:sz w:val="24"/>
          <w:szCs w:val="24"/>
        </w:rPr>
        <w:t xml:space="preserve">nexo, </w:t>
      </w:r>
      <w:r w:rsidR="00FB378C">
        <w:rPr>
          <w:rFonts w:ascii="Arial" w:hAnsi="Arial" w:cs="Arial"/>
          <w:sz w:val="24"/>
          <w:szCs w:val="24"/>
        </w:rPr>
        <w:t xml:space="preserve">deve-se </w:t>
      </w:r>
      <w:r w:rsidR="00264138">
        <w:rPr>
          <w:rFonts w:ascii="Arial" w:hAnsi="Arial" w:cs="Arial"/>
          <w:sz w:val="24"/>
          <w:szCs w:val="24"/>
        </w:rPr>
        <w:t xml:space="preserve">incluir o </w:t>
      </w:r>
      <w:r w:rsidR="00264138" w:rsidRPr="00264138">
        <w:rPr>
          <w:rFonts w:ascii="Arial" w:hAnsi="Arial" w:cs="Arial"/>
          <w:sz w:val="24"/>
          <w:szCs w:val="24"/>
          <w:u w:val="single"/>
        </w:rPr>
        <w:t xml:space="preserve">número do </w:t>
      </w:r>
      <w:r w:rsidR="009403DB">
        <w:rPr>
          <w:rFonts w:ascii="Arial" w:hAnsi="Arial" w:cs="Arial"/>
          <w:sz w:val="24"/>
          <w:szCs w:val="24"/>
          <w:u w:val="single"/>
        </w:rPr>
        <w:t>a</w:t>
      </w:r>
      <w:r w:rsidR="00264138" w:rsidRPr="00264138">
        <w:rPr>
          <w:rFonts w:ascii="Arial" w:hAnsi="Arial" w:cs="Arial"/>
          <w:sz w:val="24"/>
          <w:szCs w:val="24"/>
          <w:u w:val="single"/>
        </w:rPr>
        <w:t>nexo</w:t>
      </w:r>
      <w:r w:rsidR="00264138">
        <w:rPr>
          <w:rFonts w:ascii="Arial" w:hAnsi="Arial" w:cs="Arial"/>
          <w:sz w:val="24"/>
          <w:szCs w:val="24"/>
        </w:rPr>
        <w:t xml:space="preserve"> e o </w:t>
      </w:r>
      <w:r w:rsidR="00264138" w:rsidRPr="00264138">
        <w:rPr>
          <w:rFonts w:ascii="Arial" w:hAnsi="Arial" w:cs="Arial"/>
          <w:sz w:val="24"/>
          <w:szCs w:val="24"/>
          <w:u w:val="single"/>
        </w:rPr>
        <w:t>número do item</w:t>
      </w:r>
      <w:r w:rsidR="00264138">
        <w:rPr>
          <w:rFonts w:ascii="Arial" w:hAnsi="Arial" w:cs="Arial"/>
          <w:sz w:val="24"/>
          <w:szCs w:val="24"/>
        </w:rPr>
        <w:t xml:space="preserve"> objeto da sugestão</w:t>
      </w:r>
      <w:r w:rsidR="00FB378C">
        <w:rPr>
          <w:rFonts w:ascii="Arial" w:hAnsi="Arial" w:cs="Arial"/>
          <w:sz w:val="24"/>
          <w:szCs w:val="24"/>
        </w:rPr>
        <w:t>, caso existente</w:t>
      </w:r>
      <w:r w:rsidR="00264138">
        <w:rPr>
          <w:rFonts w:ascii="Arial" w:hAnsi="Arial" w:cs="Arial"/>
          <w:sz w:val="24"/>
          <w:szCs w:val="24"/>
        </w:rPr>
        <w:t>.</w:t>
      </w:r>
      <w:r w:rsidR="000C7F3F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Caso a sugestão seja de </w:t>
      </w:r>
      <w:r w:rsidR="002158EA" w:rsidRPr="000C0894">
        <w:rPr>
          <w:rFonts w:ascii="Arial" w:hAnsi="Arial" w:cs="Arial"/>
          <w:sz w:val="24"/>
          <w:szCs w:val="24"/>
          <w:u w:val="single"/>
        </w:rPr>
        <w:t>Inclusão</w:t>
      </w:r>
      <w:r w:rsidR="002158EA" w:rsidRPr="000C0894">
        <w:rPr>
          <w:rFonts w:ascii="Arial" w:hAnsi="Arial" w:cs="Arial"/>
          <w:sz w:val="24"/>
          <w:szCs w:val="24"/>
        </w:rPr>
        <w:t>, deve-se es</w:t>
      </w:r>
      <w:r w:rsidR="00264138">
        <w:rPr>
          <w:rFonts w:ascii="Arial" w:hAnsi="Arial" w:cs="Arial"/>
          <w:sz w:val="24"/>
          <w:szCs w:val="24"/>
        </w:rPr>
        <w:t>pecificar o número que o item ou a c</w:t>
      </w:r>
      <w:r w:rsidR="002158EA" w:rsidRPr="000C0894">
        <w:rPr>
          <w:rFonts w:ascii="Arial" w:hAnsi="Arial" w:cs="Arial"/>
          <w:sz w:val="24"/>
          <w:szCs w:val="24"/>
        </w:rPr>
        <w:t xml:space="preserve">láusula teria </w:t>
      </w:r>
      <w:r w:rsidR="000C7F3F" w:rsidRPr="000C0894">
        <w:rPr>
          <w:rFonts w:ascii="Arial" w:hAnsi="Arial" w:cs="Arial"/>
          <w:sz w:val="24"/>
          <w:szCs w:val="24"/>
        </w:rPr>
        <w:t>caso</w:t>
      </w:r>
      <w:r w:rsidR="002158EA" w:rsidRPr="000C0894">
        <w:rPr>
          <w:rFonts w:ascii="Arial" w:hAnsi="Arial" w:cs="Arial"/>
          <w:sz w:val="24"/>
          <w:szCs w:val="24"/>
        </w:rPr>
        <w:t xml:space="preserve"> a sugestão fosse acatada pela ANP;</w:t>
      </w:r>
    </w:p>
    <w:p w:rsidR="002158EA" w:rsidRPr="000C0894" w:rsidRDefault="002158EA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="00BA4C9C" w:rsidRPr="000C0894">
        <w:rPr>
          <w:rFonts w:ascii="Arial" w:hAnsi="Arial" w:cs="Arial"/>
          <w:sz w:val="24"/>
          <w:szCs w:val="24"/>
          <w:u w:val="single"/>
        </w:rPr>
        <w:t>Proposta de alteração</w:t>
      </w:r>
      <w:r w:rsidR="00BA4C9C" w:rsidRPr="000C0894">
        <w:rPr>
          <w:rFonts w:ascii="Arial" w:hAnsi="Arial" w:cs="Arial"/>
          <w:sz w:val="24"/>
          <w:szCs w:val="24"/>
        </w:rPr>
        <w:t xml:space="preserve">, </w:t>
      </w:r>
      <w:r w:rsidR="000C7F3F" w:rsidRPr="000C0894">
        <w:rPr>
          <w:rFonts w:ascii="Arial" w:hAnsi="Arial" w:cs="Arial"/>
          <w:sz w:val="24"/>
          <w:szCs w:val="24"/>
        </w:rPr>
        <w:t xml:space="preserve">deve ser redigida a redação proposta para o item, em sua versão final. Não se deve usar texto tachado, negrito, sublinhado ou destacado em cores. Caso a sugestão seja de </w:t>
      </w:r>
      <w:r w:rsidR="000C7F3F" w:rsidRPr="000C0894">
        <w:rPr>
          <w:rFonts w:ascii="Arial" w:hAnsi="Arial" w:cs="Arial"/>
          <w:sz w:val="24"/>
          <w:szCs w:val="24"/>
          <w:u w:val="single"/>
        </w:rPr>
        <w:t>Exclusão</w:t>
      </w:r>
      <w:r w:rsidR="00932C2C" w:rsidRPr="000C0894">
        <w:rPr>
          <w:rFonts w:ascii="Arial" w:hAnsi="Arial" w:cs="Arial"/>
          <w:sz w:val="24"/>
          <w:szCs w:val="24"/>
        </w:rPr>
        <w:t>, deve-</w:t>
      </w:r>
      <w:r w:rsidR="000C7F3F" w:rsidRPr="000C0894">
        <w:rPr>
          <w:rFonts w:ascii="Arial" w:hAnsi="Arial" w:cs="Arial"/>
          <w:sz w:val="24"/>
          <w:szCs w:val="24"/>
        </w:rPr>
        <w:t>se deixar o campo em branco;</w:t>
      </w:r>
    </w:p>
    <w:p w:rsidR="000C7F3F" w:rsidRPr="000C0894" w:rsidRDefault="000C7F3F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Justificativa</w:t>
      </w:r>
      <w:r w:rsidRPr="000C0894">
        <w:rPr>
          <w:rFonts w:ascii="Arial" w:hAnsi="Arial" w:cs="Arial"/>
          <w:sz w:val="24"/>
          <w:szCs w:val="24"/>
        </w:rPr>
        <w:t xml:space="preserve">, deve ser descrita </w:t>
      </w:r>
      <w:r w:rsidR="00EA1DC4" w:rsidRPr="000C0894">
        <w:rPr>
          <w:rFonts w:ascii="Arial" w:hAnsi="Arial" w:cs="Arial"/>
          <w:sz w:val="24"/>
          <w:szCs w:val="24"/>
        </w:rPr>
        <w:t xml:space="preserve">a </w:t>
      </w:r>
      <w:r w:rsidRPr="000C0894">
        <w:rPr>
          <w:rFonts w:ascii="Arial" w:hAnsi="Arial" w:cs="Arial"/>
          <w:sz w:val="24"/>
          <w:szCs w:val="24"/>
        </w:rPr>
        <w:t xml:space="preserve">justificativa </w:t>
      </w:r>
      <w:r w:rsidR="00EA1DC4" w:rsidRPr="000C0894">
        <w:rPr>
          <w:rFonts w:ascii="Arial" w:hAnsi="Arial" w:cs="Arial"/>
          <w:sz w:val="24"/>
          <w:szCs w:val="24"/>
        </w:rPr>
        <w:t xml:space="preserve">para a sugestão proposta. </w:t>
      </w:r>
    </w:p>
    <w:p w:rsidR="006E7756" w:rsidRDefault="006E7756" w:rsidP="008A590E">
      <w:pPr>
        <w:rPr>
          <w:rFonts w:ascii="Arial" w:hAnsi="Arial" w:cs="Arial"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006A74" w:rsidRDefault="00006A74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8A590E" w:rsidRPr="00FB378C" w:rsidRDefault="008A590E" w:rsidP="00FB378C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B378C">
        <w:rPr>
          <w:rFonts w:ascii="Arial" w:hAnsi="Arial" w:cs="Arial"/>
          <w:b/>
          <w:sz w:val="24"/>
          <w:szCs w:val="24"/>
        </w:rPr>
        <w:t>E</w:t>
      </w:r>
      <w:r w:rsidR="00932C2C" w:rsidRPr="00FB378C">
        <w:rPr>
          <w:rFonts w:ascii="Arial" w:hAnsi="Arial" w:cs="Arial"/>
          <w:b/>
          <w:sz w:val="24"/>
          <w:szCs w:val="24"/>
        </w:rPr>
        <w:t>xemplo de preenchimento do formulário de comentários e sugestões:</w:t>
      </w:r>
    </w:p>
    <w:p w:rsidR="008A590E" w:rsidRPr="000C0894" w:rsidRDefault="008A590E" w:rsidP="00FB378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36"/>
        <w:gridCol w:w="1522"/>
        <w:gridCol w:w="1522"/>
        <w:gridCol w:w="4951"/>
        <w:gridCol w:w="4645"/>
      </w:tblGrid>
      <w:tr w:rsidR="00932C2C" w:rsidRPr="000C0894" w:rsidTr="00FB378C">
        <w:trPr>
          <w:trHeight w:val="1701"/>
          <w:tblHeader/>
        </w:trPr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615A71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 xml:space="preserve">Anexo </w:t>
            </w:r>
            <w:r w:rsidR="00615A71">
              <w:rPr>
                <w:rFonts w:cs="Arial"/>
                <w:color w:val="000000" w:themeColor="text1"/>
                <w:szCs w:val="24"/>
              </w:rPr>
              <w:t>II</w:t>
            </w:r>
            <w:r w:rsidR="005C4925">
              <w:rPr>
                <w:rFonts w:cs="Arial"/>
                <w:color w:val="000000" w:themeColor="text1"/>
                <w:szCs w:val="24"/>
              </w:rPr>
              <w:t xml:space="preserve"> – </w:t>
            </w:r>
            <w:r w:rsidR="00615A71">
              <w:rPr>
                <w:rFonts w:cs="Arial"/>
                <w:color w:val="000000" w:themeColor="text1"/>
                <w:szCs w:val="24"/>
              </w:rPr>
              <w:t>3.2.1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Texto proposto.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Justificativa.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1.4.3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</w:tbl>
    <w:p w:rsidR="006E3142" w:rsidRPr="000C0894" w:rsidRDefault="006E3142" w:rsidP="00FB378C">
      <w:pPr>
        <w:pStyle w:val="Caption"/>
        <w:spacing w:before="120" w:after="120" w:line="360" w:lineRule="auto"/>
        <w:jc w:val="both"/>
        <w:rPr>
          <w:rFonts w:cs="Arial"/>
          <w:b/>
          <w:szCs w:val="24"/>
        </w:rPr>
      </w:pPr>
    </w:p>
    <w:p w:rsidR="006E3142" w:rsidRPr="000C0894" w:rsidRDefault="006E3142" w:rsidP="00FB378C">
      <w:pPr>
        <w:pStyle w:val="Caption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b/>
          <w:szCs w:val="24"/>
        </w:rPr>
        <w:t>Instruções para envio do formulário:</w:t>
      </w:r>
    </w:p>
    <w:p w:rsidR="008A590E" w:rsidRPr="008A590E" w:rsidRDefault="006E3142" w:rsidP="00B27481">
      <w:pPr>
        <w:pStyle w:val="Caption"/>
        <w:spacing w:before="120" w:after="120" w:line="360" w:lineRule="auto"/>
        <w:jc w:val="both"/>
        <w:rPr>
          <w:rFonts w:cs="Arial"/>
          <w:szCs w:val="24"/>
        </w:rPr>
      </w:pPr>
      <w:r w:rsidRPr="000C0894">
        <w:rPr>
          <w:rFonts w:cs="Arial"/>
          <w:szCs w:val="24"/>
        </w:rPr>
        <w:lastRenderedPageBreak/>
        <w:t xml:space="preserve">Após o preenchimento deste formulário, remeta-o à Agência Nacional do Petróleo, Gás Natural e Biocombustíveis (ANP) até </w:t>
      </w:r>
      <w:r w:rsidR="009403DB">
        <w:rPr>
          <w:rFonts w:cs="Arial"/>
          <w:szCs w:val="24"/>
        </w:rPr>
        <w:t xml:space="preserve">às </w:t>
      </w:r>
      <w:r w:rsidR="009403DB" w:rsidRPr="009403DB">
        <w:rPr>
          <w:rFonts w:cs="Arial"/>
          <w:b/>
          <w:szCs w:val="24"/>
        </w:rPr>
        <w:t xml:space="preserve">17 horas do </w:t>
      </w:r>
      <w:r w:rsidRPr="009403DB">
        <w:rPr>
          <w:rFonts w:eastAsia="PMingLiU" w:cs="Arial"/>
          <w:b/>
          <w:color w:val="000000"/>
          <w:szCs w:val="24"/>
        </w:rPr>
        <w:t xml:space="preserve">dia </w:t>
      </w:r>
      <w:r w:rsidR="002A1E27">
        <w:rPr>
          <w:rFonts w:eastAsia="PMingLiU" w:cs="Arial"/>
          <w:b/>
          <w:color w:val="000000"/>
          <w:szCs w:val="24"/>
        </w:rPr>
        <w:t>19</w:t>
      </w:r>
      <w:r w:rsidRPr="009403DB">
        <w:rPr>
          <w:rFonts w:eastAsia="PMingLiU" w:cs="Arial"/>
          <w:b/>
          <w:color w:val="000000"/>
          <w:szCs w:val="24"/>
        </w:rPr>
        <w:t xml:space="preserve"> de </w:t>
      </w:r>
      <w:r w:rsidR="009403DB" w:rsidRPr="009403DB">
        <w:rPr>
          <w:rFonts w:eastAsia="PMingLiU" w:cs="Arial"/>
          <w:b/>
          <w:color w:val="000000"/>
          <w:szCs w:val="24"/>
        </w:rPr>
        <w:t>ju</w:t>
      </w:r>
      <w:r w:rsidR="002A1E27">
        <w:rPr>
          <w:rFonts w:eastAsia="PMingLiU" w:cs="Arial"/>
          <w:b/>
          <w:color w:val="000000"/>
          <w:szCs w:val="24"/>
        </w:rPr>
        <w:t>n</w:t>
      </w:r>
      <w:r w:rsidR="009403DB" w:rsidRPr="009403DB">
        <w:rPr>
          <w:rFonts w:eastAsia="PMingLiU" w:cs="Arial"/>
          <w:b/>
          <w:color w:val="000000"/>
          <w:szCs w:val="24"/>
        </w:rPr>
        <w:t>ho de 201</w:t>
      </w:r>
      <w:r w:rsidR="002A1E27">
        <w:rPr>
          <w:rFonts w:eastAsia="PMingLiU" w:cs="Arial"/>
          <w:b/>
          <w:color w:val="000000"/>
          <w:szCs w:val="24"/>
        </w:rPr>
        <w:t>7</w:t>
      </w:r>
      <w:r w:rsidRPr="009403DB">
        <w:rPr>
          <w:rFonts w:eastAsia="PMingLiU" w:cs="Arial"/>
          <w:b/>
          <w:color w:val="000000"/>
          <w:szCs w:val="24"/>
        </w:rPr>
        <w:t xml:space="preserve"> </w:t>
      </w:r>
      <w:r w:rsidRPr="000C0894">
        <w:rPr>
          <w:rFonts w:cs="Arial"/>
          <w:szCs w:val="24"/>
        </w:rPr>
        <w:t>pelo</w:t>
      </w:r>
      <w:r w:rsidRPr="000C0894">
        <w:rPr>
          <w:rFonts w:cs="Arial"/>
          <w:b/>
          <w:szCs w:val="24"/>
        </w:rPr>
        <w:t xml:space="preserve"> </w:t>
      </w:r>
      <w:r w:rsidRPr="000C0894">
        <w:rPr>
          <w:rFonts w:cs="Arial"/>
          <w:szCs w:val="24"/>
        </w:rPr>
        <w:t xml:space="preserve">e-mail </w:t>
      </w:r>
      <w:hyperlink r:id="rId9" w:history="1">
        <w:r w:rsidRPr="000C0894">
          <w:rPr>
            <w:rStyle w:val="Hyperlink"/>
            <w:rFonts w:cs="Arial"/>
            <w:szCs w:val="24"/>
          </w:rPr>
          <w:t>rodadas@anp.gov.br</w:t>
        </w:r>
      </w:hyperlink>
      <w:r w:rsidRPr="000C0894">
        <w:rPr>
          <w:rFonts w:cs="Arial"/>
          <w:szCs w:val="24"/>
        </w:rPr>
        <w:t xml:space="preserve">. </w:t>
      </w:r>
      <w:r w:rsidRPr="000C0894">
        <w:rPr>
          <w:rFonts w:cs="Arial"/>
          <w:snapToGrid w:val="0"/>
          <w:color w:val="000000"/>
          <w:szCs w:val="24"/>
        </w:rPr>
        <w:t>A utilização deste formulário é obrigatória. Não serão aceitas sugestões e comentários fora do padrão deste formulário.</w:t>
      </w:r>
    </w:p>
    <w:p w:rsidR="006E3142" w:rsidRDefault="006E314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/>
          <w:b/>
          <w:szCs w:val="24"/>
        </w:rPr>
        <w:br w:type="page"/>
      </w:r>
    </w:p>
    <w:p w:rsidR="006E3142" w:rsidRPr="00C855A3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lastRenderedPageBreak/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6E3142" w:rsidRPr="0062557C" w:rsidRDefault="006E3142" w:rsidP="00615A71">
      <w:pPr>
        <w:pStyle w:val="Caption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PÚBLICA Nº </w:t>
      </w:r>
      <w:r w:rsidR="00F34DFC">
        <w:rPr>
          <w:rFonts w:cs="Arial"/>
        </w:rPr>
        <w:t>09</w:t>
      </w:r>
      <w:r w:rsidRPr="0062557C">
        <w:rPr>
          <w:rFonts w:cs="Arial"/>
        </w:rPr>
        <w:t>/</w:t>
      </w:r>
      <w:r>
        <w:rPr>
          <w:rFonts w:cs="Arial"/>
        </w:rPr>
        <w:t>201</w:t>
      </w:r>
      <w:r w:rsidR="002A1E27">
        <w:rPr>
          <w:rFonts w:cs="Arial"/>
        </w:rPr>
        <w:t>7</w:t>
      </w:r>
    </w:p>
    <w:p w:rsidR="006E3142" w:rsidRDefault="006E3142" w:rsidP="00842086">
      <w:pPr>
        <w:pStyle w:val="Caption"/>
        <w:jc w:val="both"/>
        <w:rPr>
          <w:rFonts w:cs="Arial"/>
          <w:b/>
          <w:szCs w:val="24"/>
        </w:rPr>
      </w:pPr>
    </w:p>
    <w:p w:rsidR="006E3142" w:rsidRDefault="006E3142" w:rsidP="00842086">
      <w:pPr>
        <w:pStyle w:val="Caption"/>
        <w:jc w:val="both"/>
        <w:rPr>
          <w:rFonts w:cs="Arial"/>
          <w:b/>
          <w:szCs w:val="24"/>
        </w:rPr>
      </w:pPr>
    </w:p>
    <w:tbl>
      <w:tblPr>
        <w:tblStyle w:val="TableGrid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26"/>
        <w:gridCol w:w="1525"/>
        <w:gridCol w:w="1525"/>
        <w:gridCol w:w="4953"/>
        <w:gridCol w:w="4647"/>
      </w:tblGrid>
      <w:tr w:rsidR="006E3142" w:rsidRPr="003F0FD9" w:rsidTr="000C0894">
        <w:trPr>
          <w:trHeight w:val="850"/>
          <w:tblHeader/>
        </w:trPr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3F0FD9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3F0FD9">
              <w:rPr>
                <w:rFonts w:cs="Arial"/>
                <w:b/>
                <w:color w:val="000000" w:themeColor="text1"/>
                <w:sz w:val="22"/>
                <w:szCs w:val="22"/>
              </w:rPr>
              <w:t>Documento</w:t>
            </w:r>
          </w:p>
        </w:tc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3F0FD9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3F0FD9">
              <w:rPr>
                <w:rFonts w:cs="Arial"/>
                <w:b/>
                <w:color w:val="000000" w:themeColor="text1"/>
                <w:sz w:val="22"/>
                <w:szCs w:val="22"/>
              </w:rPr>
              <w:t>Natureza da sugestão</w:t>
            </w:r>
          </w:p>
        </w:tc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3F0FD9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3F0FD9">
              <w:rPr>
                <w:rFonts w:cs="Arial"/>
                <w:b/>
                <w:color w:val="000000" w:themeColor="text1"/>
                <w:sz w:val="22"/>
                <w:szCs w:val="22"/>
              </w:rPr>
              <w:t>Item</w:t>
            </w:r>
          </w:p>
        </w:tc>
        <w:tc>
          <w:tcPr>
            <w:tcW w:w="1747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3F0FD9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3F0FD9">
              <w:rPr>
                <w:rFonts w:cs="Arial"/>
                <w:b/>
                <w:color w:val="000000" w:themeColor="text1"/>
                <w:sz w:val="22"/>
                <w:szCs w:val="22"/>
              </w:rPr>
              <w:t>Proposta de alteração</w:t>
            </w:r>
          </w:p>
        </w:tc>
        <w:tc>
          <w:tcPr>
            <w:tcW w:w="1639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3F0FD9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3F0FD9">
              <w:rPr>
                <w:rFonts w:cs="Arial"/>
                <w:b/>
                <w:color w:val="000000" w:themeColor="text1"/>
                <w:sz w:val="22"/>
                <w:szCs w:val="22"/>
              </w:rPr>
              <w:t>Justificativa</w:t>
            </w:r>
          </w:p>
        </w:tc>
      </w:tr>
      <w:tr w:rsidR="00A5403C" w:rsidRPr="003F0FD9" w:rsidTr="000C0894">
        <w:trPr>
          <w:trHeight w:val="2268"/>
        </w:trPr>
        <w:tc>
          <w:tcPr>
            <w:tcW w:w="538" w:type="pct"/>
            <w:vAlign w:val="center"/>
          </w:tcPr>
          <w:p w:rsidR="00A5403C" w:rsidRPr="003F0FD9" w:rsidRDefault="00A5403C" w:rsidP="003F0FD9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>Pré-edital</w:t>
            </w:r>
          </w:p>
        </w:tc>
        <w:tc>
          <w:tcPr>
            <w:tcW w:w="538" w:type="pct"/>
            <w:vAlign w:val="center"/>
          </w:tcPr>
          <w:p w:rsidR="00A5403C" w:rsidRPr="003F0FD9" w:rsidRDefault="00A5403C" w:rsidP="003F0FD9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>Alteração</w:t>
            </w:r>
          </w:p>
        </w:tc>
        <w:tc>
          <w:tcPr>
            <w:tcW w:w="538" w:type="pct"/>
            <w:vAlign w:val="center"/>
          </w:tcPr>
          <w:p w:rsidR="00A5403C" w:rsidRPr="003F0FD9" w:rsidRDefault="00A5403C" w:rsidP="003F0FD9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>Anexo XI – Item 2</w:t>
            </w:r>
          </w:p>
        </w:tc>
        <w:tc>
          <w:tcPr>
            <w:tcW w:w="1747" w:type="pct"/>
            <w:vAlign w:val="center"/>
          </w:tcPr>
          <w:p w:rsidR="00A5403C" w:rsidRPr="003F0FD9" w:rsidRDefault="00E4087F" w:rsidP="009F616F">
            <w:pPr>
              <w:pStyle w:val="BodyTex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</w:t>
            </w:r>
            <w:r w:rsidR="009F616F" w:rsidRPr="003F0FD9">
              <w:rPr>
                <w:rFonts w:cs="Arial"/>
                <w:color w:val="000000"/>
                <w:szCs w:val="22"/>
              </w:rPr>
              <w:t xml:space="preserve">. </w:t>
            </w:r>
            <w:r w:rsidR="00A5403C" w:rsidRPr="003F0FD9">
              <w:rPr>
                <w:rFonts w:cs="Arial"/>
                <w:color w:val="000000"/>
                <w:szCs w:val="22"/>
              </w:rPr>
              <w:t>O Valor Nominal desta Carta de Crédito poderá ser sacado pela ANP na forma estabelecida na Cláusula 3 abaixo, entre 10 horas e 16 horas, horário do Rio de Janeiro, em qualquer dia bancário, após a divulgação dos resultados da apresentação de ofertas e antes do vencimento desta Carta de Crédito. Entende-se por “dia bancário” qualquer dia, à exceção de sábado, domingo ou outro dia em que os bancos comerciais da cidade do Rio de Janeiro</w:t>
            </w:r>
            <w:r w:rsidR="009F616F" w:rsidRPr="003F0FD9">
              <w:rPr>
                <w:rFonts w:cs="Arial"/>
                <w:color w:val="000000"/>
                <w:szCs w:val="22"/>
              </w:rPr>
              <w:t xml:space="preserve"> </w:t>
            </w:r>
            <w:r w:rsidR="009F616F" w:rsidRPr="00B83931">
              <w:rPr>
                <w:rFonts w:cs="Arial"/>
                <w:b/>
                <w:color w:val="FF0000"/>
                <w:szCs w:val="22"/>
              </w:rPr>
              <w:t>e</w:t>
            </w:r>
            <w:r w:rsidR="003F0FD9" w:rsidRPr="00B83931">
              <w:rPr>
                <w:rFonts w:cs="Arial"/>
                <w:b/>
                <w:color w:val="FF0000"/>
                <w:szCs w:val="22"/>
              </w:rPr>
              <w:t>/ou</w:t>
            </w:r>
            <w:r w:rsidR="009F616F" w:rsidRPr="00B83931">
              <w:rPr>
                <w:rFonts w:cs="Arial"/>
                <w:b/>
                <w:color w:val="FF0000"/>
                <w:szCs w:val="22"/>
              </w:rPr>
              <w:t xml:space="preserve"> da cidade de São Paulo</w:t>
            </w:r>
            <w:r w:rsidR="00A5403C" w:rsidRPr="00B83931">
              <w:rPr>
                <w:rFonts w:cs="Arial"/>
                <w:color w:val="FF0000"/>
                <w:szCs w:val="22"/>
              </w:rPr>
              <w:t xml:space="preserve"> </w:t>
            </w:r>
            <w:r w:rsidR="00A5403C" w:rsidRPr="003F0FD9">
              <w:rPr>
                <w:rFonts w:cs="Arial"/>
                <w:color w:val="000000"/>
                <w:szCs w:val="22"/>
              </w:rPr>
              <w:t>estejam autorizados ou obrigados por lei, norma reguladora ou decreto, a fechar.</w:t>
            </w:r>
          </w:p>
          <w:p w:rsidR="00A5403C" w:rsidRPr="003F0FD9" w:rsidRDefault="00A5403C" w:rsidP="0039020E">
            <w:pPr>
              <w:pStyle w:val="Caption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39" w:type="pct"/>
            <w:vAlign w:val="center"/>
          </w:tcPr>
          <w:p w:rsidR="003F0FD9" w:rsidRPr="003F0FD9" w:rsidRDefault="009F616F" w:rsidP="009F616F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 xml:space="preserve">Tendo em vista que a maior parte das Instituições Financeiras possuem sede em São Paulo e que algumas delas não possuem agência </w:t>
            </w:r>
            <w:r w:rsidR="00B83931">
              <w:rPr>
                <w:rFonts w:cs="Arial"/>
                <w:color w:val="000000"/>
                <w:szCs w:val="22"/>
              </w:rPr>
              <w:t xml:space="preserve">ou escritório </w:t>
            </w:r>
            <w:r w:rsidRPr="003F0FD9">
              <w:rPr>
                <w:rFonts w:cs="Arial"/>
                <w:color w:val="000000"/>
                <w:szCs w:val="22"/>
              </w:rPr>
              <w:t xml:space="preserve">na cidade do Rio de Janeiro, não </w:t>
            </w:r>
            <w:r w:rsidR="00B83931">
              <w:rPr>
                <w:rFonts w:cs="Arial"/>
                <w:color w:val="000000"/>
                <w:szCs w:val="22"/>
              </w:rPr>
              <w:t xml:space="preserve">será </w:t>
            </w:r>
            <w:r w:rsidRPr="003F0FD9">
              <w:rPr>
                <w:rFonts w:cs="Arial"/>
                <w:color w:val="000000"/>
                <w:szCs w:val="22"/>
              </w:rPr>
              <w:t xml:space="preserve">possível </w:t>
            </w:r>
            <w:r w:rsidR="00B83931">
              <w:rPr>
                <w:rFonts w:cs="Arial"/>
                <w:color w:val="000000"/>
                <w:szCs w:val="22"/>
              </w:rPr>
              <w:t xml:space="preserve">cumprir obrigação de </w:t>
            </w:r>
            <w:r w:rsidRPr="003F0FD9">
              <w:rPr>
                <w:rFonts w:cs="Arial"/>
                <w:color w:val="000000"/>
                <w:szCs w:val="22"/>
              </w:rPr>
              <w:t xml:space="preserve">pagamento da carta de crédito nos dias em que os Bancos paulistanos são obrigados por lei, norma reguladora ou decreto, a fechar. </w:t>
            </w:r>
          </w:p>
          <w:p w:rsidR="00A5403C" w:rsidRPr="00AF6F6C" w:rsidRDefault="009F616F" w:rsidP="009108B2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 xml:space="preserve">Desta forma, sugerimos que seja considerado como “dia bancário” apenas os dias nos quais os bancos localizados </w:t>
            </w:r>
            <w:r w:rsidR="009108B2">
              <w:rPr>
                <w:rFonts w:cs="Arial"/>
                <w:color w:val="000000"/>
                <w:szCs w:val="22"/>
              </w:rPr>
              <w:t>em ambas as cidades</w:t>
            </w:r>
            <w:r w:rsidRPr="003F0FD9">
              <w:rPr>
                <w:rFonts w:cs="Arial"/>
                <w:color w:val="000000"/>
                <w:szCs w:val="22"/>
              </w:rPr>
              <w:t xml:space="preserve"> estejam funcionando regularmente.</w:t>
            </w:r>
            <w:r w:rsidRPr="00AF6F6C">
              <w:rPr>
                <w:rFonts w:cs="Arial"/>
                <w:color w:val="000000"/>
                <w:szCs w:val="22"/>
              </w:rPr>
              <w:t xml:space="preserve"> </w:t>
            </w:r>
          </w:p>
          <w:p w:rsidR="00B83931" w:rsidRPr="003F0FD9" w:rsidRDefault="00B83931" w:rsidP="00B83931">
            <w:pPr>
              <w:pStyle w:val="BodyText"/>
              <w:rPr>
                <w:rFonts w:cs="Arial"/>
                <w:color w:val="000000" w:themeColor="text1"/>
                <w:szCs w:val="22"/>
              </w:rPr>
            </w:pPr>
            <w:r w:rsidRPr="00AF6F6C">
              <w:rPr>
                <w:rFonts w:cs="Arial"/>
                <w:color w:val="000000"/>
                <w:szCs w:val="22"/>
              </w:rPr>
              <w:t>Alternativamente, solicitamos que sejam concedidos ao menos três dias bancários para o pagamento da carta de crédito.</w:t>
            </w:r>
          </w:p>
        </w:tc>
      </w:tr>
      <w:tr w:rsidR="003F0FD9" w:rsidRPr="003F0FD9" w:rsidTr="000C0894">
        <w:trPr>
          <w:trHeight w:val="2268"/>
        </w:trPr>
        <w:tc>
          <w:tcPr>
            <w:tcW w:w="538" w:type="pct"/>
            <w:vAlign w:val="center"/>
          </w:tcPr>
          <w:p w:rsidR="003F0FD9" w:rsidRPr="003F0FD9" w:rsidRDefault="003F0FD9" w:rsidP="003F0FD9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 xml:space="preserve">Pré-edital </w:t>
            </w:r>
          </w:p>
        </w:tc>
        <w:tc>
          <w:tcPr>
            <w:tcW w:w="538" w:type="pct"/>
            <w:vAlign w:val="center"/>
          </w:tcPr>
          <w:p w:rsidR="003F0FD9" w:rsidRPr="003F0FD9" w:rsidRDefault="003F0FD9" w:rsidP="003F0FD9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>Alteração</w:t>
            </w:r>
          </w:p>
        </w:tc>
        <w:tc>
          <w:tcPr>
            <w:tcW w:w="538" w:type="pct"/>
            <w:vAlign w:val="center"/>
          </w:tcPr>
          <w:p w:rsidR="003F0FD9" w:rsidRDefault="003F0FD9" w:rsidP="003F0FD9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 xml:space="preserve">Anexo </w:t>
            </w:r>
            <w:r>
              <w:rPr>
                <w:rFonts w:cs="Arial"/>
                <w:color w:val="000000"/>
                <w:szCs w:val="22"/>
              </w:rPr>
              <w:t xml:space="preserve">XXIII - </w:t>
            </w:r>
          </w:p>
          <w:p w:rsidR="003F0FD9" w:rsidRPr="003F0FD9" w:rsidRDefault="003F0FD9" w:rsidP="003F0FD9">
            <w:pPr>
              <w:pStyle w:val="BodyTex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Item 4 </w:t>
            </w:r>
          </w:p>
        </w:tc>
        <w:tc>
          <w:tcPr>
            <w:tcW w:w="1747" w:type="pct"/>
            <w:vAlign w:val="center"/>
          </w:tcPr>
          <w:p w:rsidR="003F0FD9" w:rsidRDefault="003F0FD9" w:rsidP="003F0FD9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 xml:space="preserve">4. O Valor Nominal da Carta de Crédito será reajustado pelo IGP-M, desde a data da sessão pública de apresentação de ofertas até a data do efetivo recebimento dos valores garantidos, e poderá ser sacado pela ANP segundo o disposto na Cláusula 5 desta Carta de Crédito, </w:t>
            </w:r>
            <w:smartTag w:uri="urn:schemas-microsoft-com:office:smarttags" w:element="PersonName">
              <w:smartTagPr>
                <w:attr w:name="ProductID" w:val="em qualquer Dia Banc￡rio"/>
              </w:smartTagPr>
              <w:r w:rsidRPr="003F0FD9">
                <w:rPr>
                  <w:rFonts w:cs="Arial"/>
                  <w:color w:val="000000"/>
                  <w:szCs w:val="22"/>
                </w:rPr>
                <w:t>em qualquer Dia Bancário</w:t>
              </w:r>
            </w:smartTag>
            <w:r w:rsidRPr="003F0FD9">
              <w:rPr>
                <w:rFonts w:cs="Arial"/>
                <w:color w:val="000000"/>
                <w:szCs w:val="22"/>
              </w:rPr>
              <w:t xml:space="preserve"> durante o Período de Saque com início às 10:00 h e término às 16:00 h, horário do Rio de Janeiro, compreendidos do dia </w:t>
            </w:r>
            <w:r w:rsidRPr="003F0FD9">
              <w:rPr>
                <w:rFonts w:cs="Arial"/>
                <w:color w:val="00000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a data de assinatura do Contrato de Concessão, no formado dia/mês/ano]"/>
                  </w:textInput>
                </w:ffData>
              </w:fldChar>
            </w:r>
            <w:r w:rsidRPr="003F0FD9">
              <w:rPr>
                <w:rFonts w:cs="Arial"/>
                <w:color w:val="000000"/>
                <w:szCs w:val="22"/>
              </w:rPr>
              <w:instrText xml:space="preserve"> FORMTEXT </w:instrText>
            </w:r>
            <w:r w:rsidRPr="003F0FD9">
              <w:rPr>
                <w:rFonts w:cs="Arial"/>
                <w:color w:val="000000"/>
                <w:szCs w:val="22"/>
              </w:rPr>
            </w:r>
            <w:r w:rsidRPr="003F0FD9">
              <w:rPr>
                <w:rFonts w:cs="Arial"/>
                <w:color w:val="000000"/>
                <w:szCs w:val="22"/>
              </w:rPr>
              <w:fldChar w:fldCharType="separate"/>
            </w:r>
            <w:r w:rsidRPr="003F0FD9">
              <w:rPr>
                <w:rFonts w:cs="Arial"/>
                <w:color w:val="000000"/>
                <w:szCs w:val="22"/>
              </w:rPr>
              <w:t>[inserir a data de assinatura do Contrato de Concessão, no formado dia/mês/ano]</w:t>
            </w:r>
            <w:r w:rsidRPr="003F0FD9">
              <w:rPr>
                <w:rFonts w:cs="Arial"/>
                <w:color w:val="000000"/>
                <w:szCs w:val="22"/>
              </w:rPr>
              <w:fldChar w:fldCharType="end"/>
            </w:r>
            <w:r w:rsidRPr="003F0FD9">
              <w:rPr>
                <w:rFonts w:cs="Arial"/>
                <w:color w:val="000000"/>
                <w:szCs w:val="22"/>
              </w:rPr>
              <w:t xml:space="preserve">, ao </w:t>
            </w:r>
            <w:r w:rsidRPr="003F0FD9">
              <w:rPr>
                <w:rFonts w:cs="Arial"/>
                <w:color w:val="00000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a data no formado dia/mês/ano, após os 180 dias do último dia da Fase de Exploração]"/>
                  </w:textInput>
                </w:ffData>
              </w:fldChar>
            </w:r>
            <w:r w:rsidRPr="003F0FD9">
              <w:rPr>
                <w:rFonts w:cs="Arial"/>
                <w:color w:val="000000"/>
                <w:szCs w:val="22"/>
              </w:rPr>
              <w:instrText xml:space="preserve"> FORMTEXT </w:instrText>
            </w:r>
            <w:r w:rsidRPr="003F0FD9">
              <w:rPr>
                <w:rFonts w:cs="Arial"/>
                <w:color w:val="000000"/>
                <w:szCs w:val="22"/>
              </w:rPr>
            </w:r>
            <w:r w:rsidRPr="003F0FD9">
              <w:rPr>
                <w:rFonts w:cs="Arial"/>
                <w:color w:val="000000"/>
                <w:szCs w:val="22"/>
              </w:rPr>
              <w:fldChar w:fldCharType="separate"/>
            </w:r>
            <w:r w:rsidRPr="003F0FD9">
              <w:rPr>
                <w:rFonts w:cs="Arial"/>
                <w:color w:val="000000"/>
                <w:szCs w:val="22"/>
              </w:rPr>
              <w:t>[inserir a data no formado dia/mês/ano, após os 180 dias do último dia da Fase de Exploração]</w:t>
            </w:r>
            <w:r w:rsidRPr="003F0FD9">
              <w:rPr>
                <w:rFonts w:cs="Arial"/>
                <w:color w:val="000000"/>
                <w:szCs w:val="22"/>
              </w:rPr>
              <w:fldChar w:fldCharType="end"/>
            </w:r>
            <w:r w:rsidRPr="003F0FD9">
              <w:rPr>
                <w:rFonts w:cs="Arial"/>
                <w:szCs w:val="22"/>
              </w:rPr>
              <w:footnoteReference w:id="1"/>
            </w:r>
            <w:r w:rsidRPr="003F0FD9">
              <w:rPr>
                <w:rFonts w:cs="Arial"/>
                <w:color w:val="000000"/>
                <w:szCs w:val="22"/>
              </w:rPr>
              <w:t xml:space="preserve"> (o "Período de Saque"). Entende-se por “Dia Bancário” qualquer dia que não seja sábado, domingo ou dia em que os bancos comerciais na cidade do Rio de Janeiro </w:t>
            </w:r>
            <w:r w:rsidRPr="00AF6F6C">
              <w:rPr>
                <w:rFonts w:cs="Arial"/>
                <w:b/>
                <w:color w:val="FF0000"/>
                <w:szCs w:val="22"/>
              </w:rPr>
              <w:t>e/ou da Cidade de São Paulo</w:t>
            </w:r>
            <w:r w:rsidRPr="00AF6F6C">
              <w:rPr>
                <w:rFonts w:cs="Arial"/>
                <w:color w:val="FF0000"/>
                <w:szCs w:val="22"/>
              </w:rPr>
              <w:t xml:space="preserve"> </w:t>
            </w:r>
            <w:r w:rsidRPr="003F0FD9">
              <w:rPr>
                <w:rFonts w:cs="Arial"/>
                <w:color w:val="000000"/>
                <w:szCs w:val="22"/>
              </w:rPr>
              <w:t>estejam autorizados ou obrigados por lei, norma reguladora ou decreto, a fechar</w:t>
            </w:r>
            <w:r>
              <w:rPr>
                <w:rFonts w:cs="Arial"/>
                <w:color w:val="000000"/>
                <w:szCs w:val="22"/>
              </w:rPr>
              <w:t>.</w:t>
            </w:r>
          </w:p>
          <w:p w:rsidR="00AF6F6C" w:rsidRPr="003F0FD9" w:rsidRDefault="00AF6F6C" w:rsidP="003F0FD9">
            <w:pPr>
              <w:pStyle w:val="BodyTex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1639" w:type="pct"/>
            <w:vAlign w:val="center"/>
          </w:tcPr>
          <w:p w:rsidR="00AF6F6C" w:rsidRPr="003F0FD9" w:rsidRDefault="00AF6F6C" w:rsidP="00AF6F6C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 xml:space="preserve">Tendo em vista que a maior parte das Instituições Financeiras possuem sede em São Paulo e que algumas delas não possuem agência </w:t>
            </w:r>
            <w:r>
              <w:rPr>
                <w:rFonts w:cs="Arial"/>
                <w:color w:val="000000"/>
                <w:szCs w:val="22"/>
              </w:rPr>
              <w:t xml:space="preserve">ou escritório </w:t>
            </w:r>
            <w:r w:rsidRPr="003F0FD9">
              <w:rPr>
                <w:rFonts w:cs="Arial"/>
                <w:color w:val="000000"/>
                <w:szCs w:val="22"/>
              </w:rPr>
              <w:t xml:space="preserve">na cidade do Rio de Janeiro, não </w:t>
            </w:r>
            <w:r>
              <w:rPr>
                <w:rFonts w:cs="Arial"/>
                <w:color w:val="000000"/>
                <w:szCs w:val="22"/>
              </w:rPr>
              <w:t xml:space="preserve">será </w:t>
            </w:r>
            <w:r w:rsidRPr="003F0FD9">
              <w:rPr>
                <w:rFonts w:cs="Arial"/>
                <w:color w:val="000000"/>
                <w:szCs w:val="22"/>
              </w:rPr>
              <w:t xml:space="preserve">possível </w:t>
            </w:r>
            <w:r>
              <w:rPr>
                <w:rFonts w:cs="Arial"/>
                <w:color w:val="000000"/>
                <w:szCs w:val="22"/>
              </w:rPr>
              <w:t xml:space="preserve">cumprir obrigação de </w:t>
            </w:r>
            <w:r w:rsidRPr="003F0FD9">
              <w:rPr>
                <w:rFonts w:cs="Arial"/>
                <w:color w:val="000000"/>
                <w:szCs w:val="22"/>
              </w:rPr>
              <w:t xml:space="preserve">pagamento da carta de crédito nos dias em que os Bancos paulistanos são obrigados por lei, norma reguladora ou decreto, a fechar. </w:t>
            </w:r>
          </w:p>
          <w:p w:rsidR="00AF6F6C" w:rsidRPr="00AF6F6C" w:rsidRDefault="00AF6F6C" w:rsidP="00AF6F6C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3F0FD9">
              <w:rPr>
                <w:rFonts w:cs="Arial"/>
                <w:color w:val="000000"/>
                <w:szCs w:val="22"/>
              </w:rPr>
              <w:t xml:space="preserve">Desta forma, sugerimos que seja considerado como “dia bancário” apenas os dias nos quais os bancos localizados </w:t>
            </w:r>
            <w:r>
              <w:rPr>
                <w:rFonts w:cs="Arial"/>
                <w:color w:val="000000"/>
                <w:szCs w:val="22"/>
              </w:rPr>
              <w:t>em ambas as cidades</w:t>
            </w:r>
            <w:r w:rsidRPr="003F0FD9">
              <w:rPr>
                <w:rFonts w:cs="Arial"/>
                <w:color w:val="000000"/>
                <w:szCs w:val="22"/>
              </w:rPr>
              <w:t xml:space="preserve"> estejam funcionando regularmente.</w:t>
            </w:r>
            <w:r w:rsidRPr="00AF6F6C">
              <w:rPr>
                <w:rFonts w:cs="Arial"/>
                <w:color w:val="000000"/>
                <w:szCs w:val="22"/>
              </w:rPr>
              <w:t xml:space="preserve"> </w:t>
            </w:r>
          </w:p>
          <w:p w:rsidR="003F0FD9" w:rsidRPr="003F0FD9" w:rsidRDefault="00AF6F6C" w:rsidP="00AF6F6C">
            <w:pPr>
              <w:pStyle w:val="BodyText"/>
              <w:rPr>
                <w:rFonts w:cs="Arial"/>
                <w:color w:val="000000" w:themeColor="text1"/>
                <w:szCs w:val="22"/>
              </w:rPr>
            </w:pPr>
            <w:r w:rsidRPr="00AF6F6C">
              <w:rPr>
                <w:rFonts w:cs="Arial"/>
                <w:color w:val="000000"/>
                <w:szCs w:val="22"/>
              </w:rPr>
              <w:t>Alternativamente, solicitamos que sejam concedidos ao menos três dias bancários para o pagamento da carta de crédito.</w:t>
            </w:r>
          </w:p>
        </w:tc>
      </w:tr>
    </w:tbl>
    <w:p w:rsidR="00764EB1" w:rsidRDefault="00764EB1" w:rsidP="004D421E">
      <w:pPr>
        <w:pStyle w:val="Caption"/>
        <w:spacing w:line="360" w:lineRule="auto"/>
        <w:jc w:val="both"/>
        <w:rPr>
          <w:rFonts w:cs="Arial"/>
          <w:szCs w:val="24"/>
          <w:u w:val="single"/>
        </w:rPr>
      </w:pPr>
      <w:bookmarkStart w:id="0" w:name="_GoBack"/>
      <w:bookmarkEnd w:id="0"/>
    </w:p>
    <w:sectPr w:rsidR="00764EB1" w:rsidSect="00FB378C">
      <w:headerReference w:type="default" r:id="rId10"/>
      <w:footerReference w:type="default" r:id="rId11"/>
      <w:headerReference w:type="first" r:id="rId12"/>
      <w:footerReference w:type="first" r:id="rId13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602" w:rsidRDefault="00A47602" w:rsidP="00842086">
      <w:r>
        <w:separator/>
      </w:r>
    </w:p>
  </w:endnote>
  <w:endnote w:type="continuationSeparator" w:id="0">
    <w:p w:rsidR="00A47602" w:rsidRDefault="00A47602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2F" w:rsidRDefault="00E4182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F6F6C">
      <w:rPr>
        <w:noProof/>
      </w:rPr>
      <w:t>2</w:t>
    </w:r>
    <w:r>
      <w:fldChar w:fldCharType="end"/>
    </w:r>
  </w:p>
  <w:p w:rsidR="00E4182F" w:rsidRDefault="00E418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2F" w:rsidRDefault="00E4182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F6F6C">
      <w:rPr>
        <w:noProof/>
      </w:rPr>
      <w:t>1</w:t>
    </w:r>
    <w:r>
      <w:fldChar w:fldCharType="end"/>
    </w:r>
  </w:p>
  <w:p w:rsidR="00E4182F" w:rsidRDefault="00E418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602" w:rsidRDefault="00A47602" w:rsidP="00842086">
      <w:r>
        <w:separator/>
      </w:r>
    </w:p>
  </w:footnote>
  <w:footnote w:type="continuationSeparator" w:id="0">
    <w:p w:rsidR="00A47602" w:rsidRDefault="00A47602" w:rsidP="00842086">
      <w:r>
        <w:continuationSeparator/>
      </w:r>
    </w:p>
  </w:footnote>
  <w:footnote w:id="1">
    <w:p w:rsidR="00E4182F" w:rsidRPr="004B6162" w:rsidRDefault="00E4182F" w:rsidP="003F0FD9">
      <w:pPr>
        <w:pStyle w:val="FootnoteText"/>
        <w:rPr>
          <w:sz w:val="18"/>
          <w:szCs w:val="18"/>
        </w:rPr>
      </w:pPr>
      <w:r w:rsidRPr="004B6162">
        <w:rPr>
          <w:rStyle w:val="FootnoteReference"/>
          <w:sz w:val="18"/>
          <w:szCs w:val="18"/>
        </w:rPr>
        <w:footnoteRef/>
      </w:r>
      <w:r w:rsidRPr="004B6162">
        <w:rPr>
          <w:sz w:val="18"/>
          <w:szCs w:val="18"/>
        </w:rPr>
        <w:t xml:space="preserve"> </w:t>
      </w:r>
      <w:r>
        <w:rPr>
          <w:sz w:val="18"/>
          <w:szCs w:val="18"/>
        </w:rPr>
        <w:t>I</w:t>
      </w:r>
      <w:r w:rsidRPr="004B6162">
        <w:rPr>
          <w:sz w:val="18"/>
          <w:szCs w:val="18"/>
        </w:rPr>
        <w:t xml:space="preserve">nserir a data referente a 180 dias após o último dia </w:t>
      </w:r>
      <w:r>
        <w:rPr>
          <w:sz w:val="18"/>
          <w:szCs w:val="18"/>
        </w:rPr>
        <w:t>da Fase</w:t>
      </w:r>
      <w:r w:rsidRPr="004B6162">
        <w:rPr>
          <w:sz w:val="18"/>
          <w:szCs w:val="18"/>
        </w:rPr>
        <w:t xml:space="preserve"> de Exploração em questão.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2F" w:rsidRDefault="00E4182F" w:rsidP="00842086">
    <w:pPr>
      <w:pStyle w:val="Header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8189"/>
      <w:gridCol w:w="6098"/>
    </w:tblGrid>
    <w:tr w:rsidR="00E4182F" w:rsidRPr="00B27481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E4182F" w:rsidRPr="0036380F" w:rsidRDefault="00E4182F" w:rsidP="003967EB">
          <w:pPr>
            <w:pStyle w:val="Header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C0815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410460" cy="1401445"/>
                <wp:effectExtent l="0" t="0" r="8890" b="8255"/>
                <wp:docPr id="1" name="Imagem 1" descr="L:\Rodadas de Licitações\Rodada 14\07. Padrão visual\LOGO_14a Rodada vertic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:\Rodadas de Licitações\Rodada 14\07. Padrão visual\LOGO_14a Rodada vertica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0460" cy="140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E4182F" w:rsidRPr="00B27481" w:rsidRDefault="00E4182F" w:rsidP="00B27481">
          <w:pPr>
            <w:pStyle w:val="Header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>
            <w:rPr>
              <w:rFonts w:ascii="Arial" w:hAnsi="Arial" w:cs="Arial"/>
              <w:b/>
              <w:sz w:val="28"/>
              <w:szCs w:val="28"/>
            </w:rPr>
            <w:t>09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>
            <w:rPr>
              <w:rFonts w:ascii="Arial" w:hAnsi="Arial" w:cs="Arial"/>
              <w:b/>
              <w:sz w:val="28"/>
              <w:szCs w:val="28"/>
            </w:rPr>
            <w:t>7</w:t>
          </w:r>
        </w:p>
        <w:p w:rsidR="00E4182F" w:rsidRPr="00B27481" w:rsidRDefault="00E4182F" w:rsidP="00B27481">
          <w:pPr>
            <w:pStyle w:val="Header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E4182F" w:rsidRDefault="00E418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6429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86"/>
    <w:rsid w:val="00006A74"/>
    <w:rsid w:val="000C0815"/>
    <w:rsid w:val="000C0894"/>
    <w:rsid w:val="000C7F3F"/>
    <w:rsid w:val="000E6393"/>
    <w:rsid w:val="00103946"/>
    <w:rsid w:val="00193747"/>
    <w:rsid w:val="001965B6"/>
    <w:rsid w:val="001B0976"/>
    <w:rsid w:val="002158EA"/>
    <w:rsid w:val="0022423B"/>
    <w:rsid w:val="00256685"/>
    <w:rsid w:val="00264138"/>
    <w:rsid w:val="002A1E27"/>
    <w:rsid w:val="002B4A17"/>
    <w:rsid w:val="00300B92"/>
    <w:rsid w:val="00314BDB"/>
    <w:rsid w:val="00327F69"/>
    <w:rsid w:val="0036380F"/>
    <w:rsid w:val="0039020E"/>
    <w:rsid w:val="003967EB"/>
    <w:rsid w:val="003B7B4E"/>
    <w:rsid w:val="003D5BFF"/>
    <w:rsid w:val="003D6CBE"/>
    <w:rsid w:val="003F0FD9"/>
    <w:rsid w:val="0040140A"/>
    <w:rsid w:val="00412AA7"/>
    <w:rsid w:val="00471ADB"/>
    <w:rsid w:val="004A005A"/>
    <w:rsid w:val="004B7788"/>
    <w:rsid w:val="004C0021"/>
    <w:rsid w:val="004D421E"/>
    <w:rsid w:val="004F050F"/>
    <w:rsid w:val="00522708"/>
    <w:rsid w:val="005600AD"/>
    <w:rsid w:val="0056683F"/>
    <w:rsid w:val="005B3CEF"/>
    <w:rsid w:val="005B7D75"/>
    <w:rsid w:val="005C4925"/>
    <w:rsid w:val="005C5B4E"/>
    <w:rsid w:val="005D7856"/>
    <w:rsid w:val="005E57FB"/>
    <w:rsid w:val="00605710"/>
    <w:rsid w:val="00615A71"/>
    <w:rsid w:val="0062557C"/>
    <w:rsid w:val="00675939"/>
    <w:rsid w:val="006E3142"/>
    <w:rsid w:val="006E7756"/>
    <w:rsid w:val="006F3664"/>
    <w:rsid w:val="007178AA"/>
    <w:rsid w:val="0072285E"/>
    <w:rsid w:val="00764EB1"/>
    <w:rsid w:val="007662D7"/>
    <w:rsid w:val="007E2560"/>
    <w:rsid w:val="007F7936"/>
    <w:rsid w:val="0083277E"/>
    <w:rsid w:val="00842086"/>
    <w:rsid w:val="008500E0"/>
    <w:rsid w:val="00854EE5"/>
    <w:rsid w:val="008675C5"/>
    <w:rsid w:val="00883495"/>
    <w:rsid w:val="008A590E"/>
    <w:rsid w:val="008E7D7F"/>
    <w:rsid w:val="009108B2"/>
    <w:rsid w:val="00913328"/>
    <w:rsid w:val="0092578B"/>
    <w:rsid w:val="009271A8"/>
    <w:rsid w:val="00932C2C"/>
    <w:rsid w:val="009403DB"/>
    <w:rsid w:val="0099566E"/>
    <w:rsid w:val="009F616F"/>
    <w:rsid w:val="00A47602"/>
    <w:rsid w:val="00A51516"/>
    <w:rsid w:val="00A5403C"/>
    <w:rsid w:val="00A621DA"/>
    <w:rsid w:val="00A91CC2"/>
    <w:rsid w:val="00AC3176"/>
    <w:rsid w:val="00AC75F7"/>
    <w:rsid w:val="00AC7BE3"/>
    <w:rsid w:val="00AE02B1"/>
    <w:rsid w:val="00AF6F6C"/>
    <w:rsid w:val="00B13EFD"/>
    <w:rsid w:val="00B25C8F"/>
    <w:rsid w:val="00B27481"/>
    <w:rsid w:val="00B40F4C"/>
    <w:rsid w:val="00B43186"/>
    <w:rsid w:val="00B83931"/>
    <w:rsid w:val="00BA4C9C"/>
    <w:rsid w:val="00BC1BBC"/>
    <w:rsid w:val="00BE0221"/>
    <w:rsid w:val="00C102D5"/>
    <w:rsid w:val="00C44A37"/>
    <w:rsid w:val="00C57F32"/>
    <w:rsid w:val="00C85228"/>
    <w:rsid w:val="00C855A3"/>
    <w:rsid w:val="00CA289A"/>
    <w:rsid w:val="00CF02E6"/>
    <w:rsid w:val="00CF2944"/>
    <w:rsid w:val="00E05AB8"/>
    <w:rsid w:val="00E4087F"/>
    <w:rsid w:val="00E4182F"/>
    <w:rsid w:val="00E548B4"/>
    <w:rsid w:val="00E91A45"/>
    <w:rsid w:val="00EA1DC4"/>
    <w:rsid w:val="00ED28BC"/>
    <w:rsid w:val="00EF4AFC"/>
    <w:rsid w:val="00F34DFC"/>
    <w:rsid w:val="00F503A5"/>
    <w:rsid w:val="00F63177"/>
    <w:rsid w:val="00F637D7"/>
    <w:rsid w:val="00FA7129"/>
    <w:rsid w:val="00FB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Footer">
    <w:name w:val="footer"/>
    <w:basedOn w:val="Normal"/>
    <w:link w:val="Foot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PlaceholderText">
    <w:name w:val="Placeholder Text"/>
    <w:basedOn w:val="DefaultParagraphFont"/>
    <w:uiPriority w:val="99"/>
    <w:semiHidden/>
    <w:rsid w:val="00A91CC2"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40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FootnoteReference">
    <w:name w:val="footnote reference"/>
    <w:basedOn w:val="DefaultParagraphFont"/>
    <w:uiPriority w:val="99"/>
    <w:semiHidden/>
    <w:unhideWhenUsed/>
    <w:rsid w:val="0040140A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2C2C"/>
    <w:rPr>
      <w:rFonts w:cs="Times New Roman"/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A5403C"/>
    <w:pPr>
      <w:spacing w:line="288" w:lineRule="auto"/>
      <w:jc w:val="both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A5403C"/>
    <w:rPr>
      <w:rFonts w:ascii="Arial" w:hAnsi="Arial"/>
      <w:sz w:val="22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Footer">
    <w:name w:val="footer"/>
    <w:basedOn w:val="Normal"/>
    <w:link w:val="Foot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PlaceholderText">
    <w:name w:val="Placeholder Text"/>
    <w:basedOn w:val="DefaultParagraphFont"/>
    <w:uiPriority w:val="99"/>
    <w:semiHidden/>
    <w:rsid w:val="00A91CC2"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40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FootnoteReference">
    <w:name w:val="footnote reference"/>
    <w:basedOn w:val="DefaultParagraphFont"/>
    <w:uiPriority w:val="99"/>
    <w:semiHidden/>
    <w:unhideWhenUsed/>
    <w:rsid w:val="0040140A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2C2C"/>
    <w:rPr>
      <w:rFonts w:cs="Times New Roman"/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A5403C"/>
    <w:pPr>
      <w:spacing w:line="288" w:lineRule="auto"/>
      <w:jc w:val="both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A5403C"/>
    <w:rPr>
      <w:rFonts w:ascii="Arial" w:hAnsi="Arial"/>
      <w:sz w:val="22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odadas@anp.gov.br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35626-2D12-4ADB-B98C-C4BF02B48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759</Words>
  <Characters>4008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ANP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Lessa, Patricia</cp:lastModifiedBy>
  <cp:revision>3</cp:revision>
  <cp:lastPrinted>2013-01-24T15:49:00Z</cp:lastPrinted>
  <dcterms:created xsi:type="dcterms:W3CDTF">2017-06-09T22:56:00Z</dcterms:created>
  <dcterms:modified xsi:type="dcterms:W3CDTF">2017-06-09T23:04:00Z</dcterms:modified>
</cp:coreProperties>
</file>